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fishes (e.g., juvenile Chinook Salmon) versus other food items (e.g., invertebrates). Therefore, we varied the proportion of the diet consisting of fish versus invertebrates to range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DSR and NRR emigrants potentially consumed by all Northern Pikeminnow in Deadwater Slough, we then multiplied the grams of fish consumed by an individual Northern Pikeminnow during each period (fall and spring) by the estimated population size for that period. The total biomass was further converted to an estimate of the total number of Chinook Salmon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5</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p>
      <w:pPr>
        <w:pStyle w:val="BodyText"/>
      </w:pPr>
      <w:r>
        <w:t xml:space="preserve">The estimated number of Chinook Salmon consumed by Northern Pikeminnow begins to taper off between 30-90% of Pikeminnow diet. So although we are uncertain of that diet proportion, the impact of that uncertainty is somewhat constrained. We estimated the total juvenile outmigrants consumed (fall and spring) to be between 93,009 and 206,596. This translates to adult Chinook equivalents between 571 and 1,269 (Figure</w:t>
      </w:r>
      <w:r>
        <w:t xml:space="preserve"> </w:t>
      </w:r>
      <w:r>
        <w:t xml:space="preserve">6</w:t>
      </w:r>
      <w:r>
        <w:t xml:space="preserve">).</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2021-12-22 12:17:56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[e4b630c] 2021-12-22: draft Methods complete</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2021-12-22T19:17:59Z</dcterms:created>
  <dcterms:modified xsi:type="dcterms:W3CDTF">2021-12-22T19:17:59Z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